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2A63" w14:textId="59E2BE50" w:rsidR="00D534A4" w:rsidRDefault="00D534A4" w:rsidP="00243748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noProof/>
          <w:sz w:val="22"/>
          <w:szCs w:val="22"/>
          <w:lang w:eastAsia="en-AU"/>
        </w:rPr>
        <w:drawing>
          <wp:inline distT="0" distB="0" distL="0" distR="0" wp14:anchorId="55E46DDB" wp14:editId="16CD37CF">
            <wp:extent cx="2920365" cy="304800"/>
            <wp:effectExtent l="0" t="0" r="0" b="0"/>
            <wp:docPr id="201865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251EB" w14:textId="3E5A9974" w:rsidR="00243748" w:rsidRPr="00243748" w:rsidRDefault="00F2723F" w:rsidP="00C50336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sz w:val="22"/>
          <w:szCs w:val="22"/>
          <w:lang w:eastAsia="en-AU"/>
        </w:rPr>
        <w:t>People &amp; Culture</w:t>
      </w:r>
      <w:r w:rsidR="00243748" w:rsidRPr="00243748">
        <w:rPr>
          <w:rFonts w:eastAsia="Times New Roman" w:cs="Times New Roman"/>
          <w:b/>
          <w:bCs/>
          <w:sz w:val="22"/>
          <w:szCs w:val="22"/>
          <w:lang w:eastAsia="en-AU"/>
        </w:rPr>
        <w:t xml:space="preserve"> Committee</w:t>
      </w:r>
      <w:r w:rsidR="002D1160">
        <w:rPr>
          <w:rFonts w:eastAsia="Times New Roman" w:cs="Times New Roman"/>
          <w:b/>
          <w:bCs/>
          <w:sz w:val="22"/>
          <w:szCs w:val="22"/>
          <w:lang w:eastAsia="en-AU"/>
        </w:rPr>
        <w:t xml:space="preserve"> </w:t>
      </w:r>
      <w:r w:rsidR="002D1160" w:rsidRPr="00243748">
        <w:rPr>
          <w:rFonts w:eastAsia="Times New Roman" w:cs="Times New Roman"/>
          <w:b/>
          <w:bCs/>
          <w:sz w:val="22"/>
          <w:szCs w:val="22"/>
          <w:lang w:eastAsia="en-AU"/>
        </w:rPr>
        <w:t>(</w:t>
      </w:r>
      <w:r>
        <w:rPr>
          <w:rFonts w:eastAsia="Times New Roman" w:cs="Times New Roman"/>
          <w:b/>
          <w:bCs/>
          <w:sz w:val="22"/>
          <w:szCs w:val="22"/>
          <w:lang w:eastAsia="en-AU"/>
        </w:rPr>
        <w:t>PC</w:t>
      </w:r>
      <w:r w:rsidR="002D1160" w:rsidRPr="00243748">
        <w:rPr>
          <w:rFonts w:eastAsia="Times New Roman" w:cs="Times New Roman"/>
          <w:b/>
          <w:bCs/>
          <w:sz w:val="22"/>
          <w:szCs w:val="22"/>
          <w:lang w:eastAsia="en-AU"/>
        </w:rPr>
        <w:t>C)</w:t>
      </w:r>
      <w:r w:rsidR="00D534A4">
        <w:rPr>
          <w:rFonts w:eastAsia="Times New Roman" w:cs="Times New Roman"/>
          <w:b/>
          <w:bCs/>
          <w:sz w:val="22"/>
          <w:szCs w:val="22"/>
          <w:lang w:eastAsia="en-AU"/>
        </w:rPr>
        <w:br/>
        <w:t>Terms of Reference</w:t>
      </w:r>
      <w:r w:rsidR="009B0FBA">
        <w:rPr>
          <w:rFonts w:eastAsia="Times New Roman" w:cs="Times New Roman"/>
          <w:b/>
          <w:bCs/>
          <w:sz w:val="22"/>
          <w:szCs w:val="22"/>
          <w:lang w:eastAsia="en-AU"/>
        </w:rPr>
        <w:br/>
        <w:t>November 2025, next review November 2027</w:t>
      </w:r>
    </w:p>
    <w:p w14:paraId="4110AC54" w14:textId="3F4C0D82" w:rsidR="00D534A4" w:rsidRPr="00243748" w:rsidRDefault="00D534A4" w:rsidP="00D534A4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 xml:space="preserve">The </w:t>
      </w:r>
      <w:r w:rsidR="00F2723F">
        <w:rPr>
          <w:rFonts w:eastAsia="Times New Roman" w:cs="Times New Roman"/>
          <w:sz w:val="22"/>
          <w:szCs w:val="22"/>
          <w:lang w:eastAsia="en-AU"/>
        </w:rPr>
        <w:t>People and Culture</w:t>
      </w:r>
      <w:r w:rsidRPr="00243748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E86C00">
        <w:rPr>
          <w:rFonts w:eastAsia="Times New Roman" w:cs="Times New Roman"/>
          <w:sz w:val="22"/>
          <w:szCs w:val="22"/>
          <w:lang w:eastAsia="en-AU"/>
        </w:rPr>
        <w:t xml:space="preserve">Committee </w:t>
      </w:r>
      <w:r w:rsidRPr="00243748">
        <w:rPr>
          <w:rFonts w:eastAsia="Times New Roman" w:cs="Times New Roman"/>
          <w:sz w:val="22"/>
          <w:szCs w:val="22"/>
          <w:lang w:eastAsia="en-AU"/>
        </w:rPr>
        <w:t>(</w:t>
      </w:r>
      <w:r w:rsidR="00F2723F">
        <w:rPr>
          <w:rFonts w:eastAsia="Times New Roman" w:cs="Times New Roman"/>
          <w:sz w:val="22"/>
          <w:szCs w:val="22"/>
          <w:lang w:eastAsia="en-AU"/>
        </w:rPr>
        <w:t>PC</w:t>
      </w:r>
      <w:r w:rsidRPr="00243748">
        <w:rPr>
          <w:rFonts w:eastAsia="Times New Roman" w:cs="Times New Roman"/>
          <w:sz w:val="22"/>
          <w:szCs w:val="22"/>
          <w:lang w:eastAsia="en-AU"/>
        </w:rPr>
        <w:t xml:space="preserve">C) is established as a </w:t>
      </w:r>
      <w:r w:rsidR="004E1E92">
        <w:rPr>
          <w:rFonts w:eastAsia="Times New Roman" w:cs="Times New Roman"/>
          <w:sz w:val="22"/>
          <w:szCs w:val="22"/>
          <w:lang w:eastAsia="en-AU"/>
        </w:rPr>
        <w:t>c</w:t>
      </w:r>
      <w:r w:rsidRPr="00243748">
        <w:rPr>
          <w:rFonts w:eastAsia="Times New Roman" w:cs="Times New Roman"/>
          <w:sz w:val="22"/>
          <w:szCs w:val="22"/>
          <w:lang w:eastAsia="en-AU"/>
        </w:rPr>
        <w:t>ommittee of the ADAQ Board.</w:t>
      </w:r>
    </w:p>
    <w:p w14:paraId="126D808A" w14:textId="37897964" w:rsidR="00F2155A" w:rsidRPr="00F2155A" w:rsidRDefault="00D534A4" w:rsidP="00E2695A">
      <w:pPr>
        <w:pStyle w:val="Heading2"/>
        <w:numPr>
          <w:ilvl w:val="0"/>
          <w:numId w:val="18"/>
        </w:numPr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F2155A">
        <w:rPr>
          <w:rFonts w:eastAsia="Times New Roman" w:cs="Times New Roman"/>
          <w:b/>
          <w:bCs/>
          <w:sz w:val="22"/>
          <w:szCs w:val="22"/>
          <w:lang w:eastAsia="en-AU"/>
        </w:rPr>
        <w:t>Purpose</w:t>
      </w:r>
    </w:p>
    <w:p w14:paraId="1AAA1014" w14:textId="33A7CD4A" w:rsidR="0068199B" w:rsidRPr="00F2723F" w:rsidRDefault="00F2723F" w:rsidP="0068199B">
      <w:pPr>
        <w:pStyle w:val="NormalWeb"/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>The Committee's primary purpose is to assist the Board in fulfilling its oversight responsibilities by ensuring ADAQ has a strong organisational culture, effective leadership, robust succession plans, and appropriate frameworks for remuneration, performance, and workplace health and safety.</w:t>
      </w:r>
      <w:r w:rsidR="0068199B" w:rsidRPr="0068199B">
        <w:rPr>
          <w:rFonts w:asciiTheme="minorHAnsi" w:hAnsiTheme="minorHAnsi"/>
          <w:sz w:val="22"/>
          <w:szCs w:val="22"/>
        </w:rPr>
        <w:t xml:space="preserve"> </w:t>
      </w:r>
      <w:r w:rsidR="0068199B">
        <w:rPr>
          <w:rFonts w:asciiTheme="minorHAnsi" w:hAnsiTheme="minorHAnsi"/>
          <w:sz w:val="22"/>
          <w:szCs w:val="22"/>
        </w:rPr>
        <w:t>It includes:</w:t>
      </w:r>
    </w:p>
    <w:p w14:paraId="67786D04" w14:textId="0FC0EF0F" w:rsidR="00F2723F" w:rsidRPr="00F2723F" w:rsidRDefault="00F2723F" w:rsidP="0068199B">
      <w:pPr>
        <w:pStyle w:val="NormalWeb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>Organisational culture and employee engagement</w:t>
      </w:r>
      <w:r w:rsidR="0078325F">
        <w:rPr>
          <w:rFonts w:asciiTheme="minorHAnsi" w:hAnsiTheme="minorHAnsi"/>
          <w:sz w:val="22"/>
          <w:szCs w:val="22"/>
        </w:rPr>
        <w:t>;</w:t>
      </w:r>
    </w:p>
    <w:p w14:paraId="6AB9A0E2" w14:textId="25C197C0" w:rsidR="00F2723F" w:rsidRPr="00F2723F" w:rsidRDefault="00F2723F" w:rsidP="0068199B">
      <w:pPr>
        <w:pStyle w:val="NormalWeb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 xml:space="preserve">Performance </w:t>
      </w:r>
      <w:r w:rsidR="00A0197E">
        <w:rPr>
          <w:rFonts w:asciiTheme="minorHAnsi" w:hAnsiTheme="minorHAnsi"/>
          <w:sz w:val="22"/>
          <w:szCs w:val="22"/>
        </w:rPr>
        <w:t xml:space="preserve">management </w:t>
      </w:r>
      <w:r w:rsidRPr="00F2723F">
        <w:rPr>
          <w:rFonts w:asciiTheme="minorHAnsi" w:hAnsiTheme="minorHAnsi"/>
          <w:sz w:val="22"/>
          <w:szCs w:val="22"/>
        </w:rPr>
        <w:t>and remuneration of the Chief Executive Officer (CEO)</w:t>
      </w:r>
      <w:r w:rsidR="0078325F">
        <w:rPr>
          <w:rFonts w:asciiTheme="minorHAnsi" w:hAnsiTheme="minorHAnsi"/>
          <w:sz w:val="22"/>
          <w:szCs w:val="22"/>
        </w:rPr>
        <w:t>;</w:t>
      </w:r>
    </w:p>
    <w:p w14:paraId="2761E2F7" w14:textId="5C0B2A13" w:rsidR="00F2723F" w:rsidRPr="00F2723F" w:rsidRDefault="00F2723F" w:rsidP="0068199B">
      <w:pPr>
        <w:pStyle w:val="NormalWeb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>Succession planning for the Board, CEO, and senior leadership</w:t>
      </w:r>
      <w:r w:rsidR="0078325F">
        <w:rPr>
          <w:rFonts w:asciiTheme="minorHAnsi" w:hAnsiTheme="minorHAnsi"/>
          <w:sz w:val="22"/>
          <w:szCs w:val="22"/>
        </w:rPr>
        <w:t>;</w:t>
      </w:r>
    </w:p>
    <w:p w14:paraId="2F9D3AE7" w14:textId="2141FE54" w:rsidR="00F2723F" w:rsidRPr="00F2723F" w:rsidRDefault="00F2723F" w:rsidP="0068199B">
      <w:pPr>
        <w:pStyle w:val="NormalWeb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>Board performance and development</w:t>
      </w:r>
      <w:r w:rsidR="0078325F">
        <w:rPr>
          <w:rFonts w:asciiTheme="minorHAnsi" w:hAnsiTheme="minorHAnsi"/>
          <w:sz w:val="22"/>
          <w:szCs w:val="22"/>
        </w:rPr>
        <w:t>;</w:t>
      </w:r>
    </w:p>
    <w:p w14:paraId="6D94868E" w14:textId="43062CC5" w:rsidR="00F2723F" w:rsidRPr="004E3DA6" w:rsidRDefault="00F2723F" w:rsidP="0068199B">
      <w:pPr>
        <w:pStyle w:val="NormalWeb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F2723F">
        <w:rPr>
          <w:rFonts w:asciiTheme="minorHAnsi" w:hAnsiTheme="minorHAnsi"/>
          <w:sz w:val="22"/>
          <w:szCs w:val="22"/>
        </w:rPr>
        <w:t>Work Health and Safety (WHS) compliance and culture.</w:t>
      </w:r>
    </w:p>
    <w:p w14:paraId="56747C83" w14:textId="1288A27A" w:rsidR="007A66F4" w:rsidRDefault="007A66F4" w:rsidP="007A66F4">
      <w:pPr>
        <w:pStyle w:val="Heading2"/>
        <w:numPr>
          <w:ilvl w:val="0"/>
          <w:numId w:val="18"/>
        </w:numPr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7A66F4">
        <w:rPr>
          <w:rFonts w:eastAsia="Times New Roman" w:cs="Times New Roman"/>
          <w:b/>
          <w:bCs/>
          <w:sz w:val="22"/>
          <w:szCs w:val="22"/>
          <w:lang w:eastAsia="en-AU"/>
        </w:rPr>
        <w:t>Authority</w:t>
      </w:r>
    </w:p>
    <w:p w14:paraId="2A0B2A2E" w14:textId="4DC87AAB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The Committee is a sub-committee of the Board and has no authority to make decisions on behalf of the Board, unless specifically granted in writing.</w:t>
      </w:r>
    </w:p>
    <w:p w14:paraId="095DF5B0" w14:textId="77777777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 xml:space="preserve">It does not have delegated financial responsibility or management functions. Its role is to report to the Board and to provide appropriate advice and recommendations. </w:t>
      </w:r>
    </w:p>
    <w:p w14:paraId="4B9D9A4F" w14:textId="77777777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The Committee is authorised by the Board to:</w:t>
      </w:r>
    </w:p>
    <w:p w14:paraId="20D57FB1" w14:textId="4A4D7A83" w:rsidR="004A7386" w:rsidRPr="000B0505" w:rsidRDefault="004A7386" w:rsidP="004A7386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0B0505">
        <w:rPr>
          <w:sz w:val="22"/>
          <w:szCs w:val="22"/>
          <w:lang w:eastAsia="en-AU"/>
        </w:rPr>
        <w:t>Request information it requires from ADAQ management (through the CEO)</w:t>
      </w:r>
      <w:r w:rsidR="0078325F" w:rsidRPr="000B0505">
        <w:rPr>
          <w:sz w:val="22"/>
          <w:szCs w:val="22"/>
          <w:lang w:eastAsia="en-AU"/>
        </w:rPr>
        <w:t>;</w:t>
      </w:r>
    </w:p>
    <w:p w14:paraId="6CAA8863" w14:textId="77777777" w:rsidR="003846F4" w:rsidRPr="000B0505" w:rsidRDefault="003846F4" w:rsidP="003846F4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0B0505">
        <w:rPr>
          <w:sz w:val="22"/>
          <w:szCs w:val="22"/>
          <w:lang w:eastAsia="en-AU"/>
        </w:rPr>
        <w:t>Obtain outside legal or other independent professional advice at ADAQ's expense, subject to the Delegations of Authority policy, and if required, with prior Board approval;</w:t>
      </w:r>
    </w:p>
    <w:p w14:paraId="30B57538" w14:textId="0A8C3CD9" w:rsidR="00EB74B5" w:rsidRPr="00413101" w:rsidRDefault="004A7386" w:rsidP="00EB74B5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Have unrestricted access to ADAQ's auditors and legal counsel as required.</w:t>
      </w:r>
    </w:p>
    <w:p w14:paraId="6C9B2EB0" w14:textId="5C2D7A00" w:rsidR="00521F16" w:rsidRPr="00497AA7" w:rsidRDefault="000E51C2" w:rsidP="00521F16">
      <w:pPr>
        <w:pStyle w:val="Heading2"/>
        <w:rPr>
          <w:lang w:val="en-US"/>
        </w:rPr>
      </w:pPr>
      <w:r>
        <w:rPr>
          <w:lang w:val="en-US"/>
        </w:rPr>
        <w:t xml:space="preserve">core </w:t>
      </w:r>
      <w:r w:rsidR="00521F16" w:rsidRPr="00497AA7">
        <w:rPr>
          <w:lang w:val="en-US"/>
        </w:rPr>
        <w:t xml:space="preserve">Responsibilities </w:t>
      </w:r>
    </w:p>
    <w:p w14:paraId="185AFF11" w14:textId="7CDEEF34" w:rsidR="00521F16" w:rsidRPr="00B74B4A" w:rsidRDefault="00521F16" w:rsidP="00521F16">
      <w:pPr>
        <w:rPr>
          <w:sz w:val="22"/>
          <w:szCs w:val="22"/>
          <w:lang w:val="en-US"/>
        </w:rPr>
      </w:pPr>
      <w:r w:rsidRPr="00B74B4A">
        <w:rPr>
          <w:sz w:val="22"/>
          <w:szCs w:val="22"/>
          <w:lang w:val="en-US"/>
        </w:rPr>
        <w:t xml:space="preserve">The following responsibilities have been delegated by the Board to the </w:t>
      </w:r>
      <w:r w:rsidR="00B74B4A">
        <w:rPr>
          <w:sz w:val="22"/>
          <w:szCs w:val="22"/>
          <w:lang w:val="en-US"/>
        </w:rPr>
        <w:t>C</w:t>
      </w:r>
      <w:r w:rsidRPr="00B74B4A">
        <w:rPr>
          <w:sz w:val="22"/>
          <w:szCs w:val="22"/>
          <w:lang w:val="en-US"/>
        </w:rPr>
        <w:t>ommittee:</w:t>
      </w:r>
    </w:p>
    <w:p w14:paraId="510D91B4" w14:textId="7C8A95BE" w:rsidR="00841A2C" w:rsidRPr="00841A2C" w:rsidRDefault="00841A2C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841A2C">
        <w:rPr>
          <w:rFonts w:eastAsia="Times New Roman" w:cs="Times New Roman"/>
          <w:b/>
          <w:bCs/>
          <w:sz w:val="22"/>
          <w:szCs w:val="22"/>
          <w:lang w:eastAsia="en-AU"/>
        </w:rPr>
        <w:t>CEO Performance and Remuneration</w:t>
      </w:r>
    </w:p>
    <w:p w14:paraId="109B907E" w14:textId="05DBD243" w:rsidR="00841A2C" w:rsidRPr="00841A2C" w:rsidRDefault="00841A2C" w:rsidP="00841A2C">
      <w:pPr>
        <w:numPr>
          <w:ilvl w:val="0"/>
          <w:numId w:val="3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Annually review and recommend the CEO's remuneration package and contract terms to the Board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3B02ED0B" w14:textId="06443CD8" w:rsidR="00841A2C" w:rsidRPr="00841A2C" w:rsidRDefault="00841A2C" w:rsidP="00841A2C">
      <w:pPr>
        <w:numPr>
          <w:ilvl w:val="0"/>
          <w:numId w:val="3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Assist the Board in setting CEO KPIs and conducting the annual performance review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7A4C8C78" w14:textId="72D1A610" w:rsidR="00841A2C" w:rsidRPr="00841A2C" w:rsidRDefault="00841A2C" w:rsidP="00841A2C">
      <w:pPr>
        <w:numPr>
          <w:ilvl w:val="0"/>
          <w:numId w:val="3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Oversee the senior leadership remuneration framework.</w:t>
      </w:r>
    </w:p>
    <w:p w14:paraId="65B5D0C0" w14:textId="49681FB8" w:rsidR="00841A2C" w:rsidRPr="00841A2C" w:rsidRDefault="00841A2C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841A2C">
        <w:rPr>
          <w:rFonts w:eastAsia="Times New Roman" w:cs="Times New Roman"/>
          <w:b/>
          <w:bCs/>
          <w:sz w:val="22"/>
          <w:szCs w:val="22"/>
          <w:lang w:eastAsia="en-AU"/>
        </w:rPr>
        <w:t>Organisational Culture</w:t>
      </w:r>
    </w:p>
    <w:p w14:paraId="0B164B04" w14:textId="4B0AD8C3" w:rsidR="00841A2C" w:rsidRPr="00841A2C" w:rsidRDefault="00A0143E" w:rsidP="00841A2C">
      <w:pPr>
        <w:numPr>
          <w:ilvl w:val="0"/>
          <w:numId w:val="3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Support the CEO to p</w:t>
      </w:r>
      <w:r w:rsidR="00841A2C" w:rsidRPr="00841A2C">
        <w:rPr>
          <w:rFonts w:eastAsia="Times New Roman" w:cs="Times New Roman"/>
          <w:sz w:val="22"/>
          <w:szCs w:val="22"/>
          <w:lang w:eastAsia="en-AU"/>
        </w:rPr>
        <w:t xml:space="preserve">romote </w:t>
      </w:r>
      <w:r>
        <w:rPr>
          <w:rFonts w:eastAsia="Times New Roman" w:cs="Times New Roman"/>
          <w:sz w:val="22"/>
          <w:szCs w:val="22"/>
          <w:lang w:eastAsia="en-AU"/>
        </w:rPr>
        <w:t xml:space="preserve">a </w:t>
      </w:r>
      <w:r w:rsidR="00841A2C" w:rsidRPr="00841A2C">
        <w:rPr>
          <w:rFonts w:eastAsia="Times New Roman" w:cs="Times New Roman"/>
          <w:sz w:val="22"/>
          <w:szCs w:val="22"/>
          <w:lang w:eastAsia="en-AU"/>
        </w:rPr>
        <w:t>positive, values-driven</w:t>
      </w:r>
      <w:r>
        <w:rPr>
          <w:rFonts w:eastAsia="Times New Roman" w:cs="Times New Roman"/>
          <w:sz w:val="22"/>
          <w:szCs w:val="22"/>
          <w:lang w:eastAsia="en-AU"/>
        </w:rPr>
        <w:t xml:space="preserve"> and growth orientated</w:t>
      </w:r>
      <w:r w:rsidR="00914FD7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841A2C" w:rsidRPr="00841A2C">
        <w:rPr>
          <w:rFonts w:eastAsia="Times New Roman" w:cs="Times New Roman"/>
          <w:sz w:val="22"/>
          <w:szCs w:val="22"/>
          <w:lang w:eastAsia="en-AU"/>
        </w:rPr>
        <w:t>culture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71489631" w14:textId="5C0A0B01" w:rsidR="00841A2C" w:rsidRPr="00841A2C" w:rsidRDefault="00841A2C" w:rsidP="00841A2C">
      <w:pPr>
        <w:numPr>
          <w:ilvl w:val="0"/>
          <w:numId w:val="3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Review employee survey results and monitor management's action plans</w:t>
      </w:r>
      <w:r w:rsidR="00A0143E">
        <w:rPr>
          <w:rFonts w:eastAsia="Times New Roman" w:cs="Times New Roman"/>
          <w:sz w:val="22"/>
          <w:szCs w:val="22"/>
          <w:lang w:eastAsia="en-AU"/>
        </w:rPr>
        <w:t xml:space="preserve"> and implementation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08B6C96B" w14:textId="7DB074A3" w:rsidR="00841A2C" w:rsidRPr="00841A2C" w:rsidRDefault="00841A2C" w:rsidP="00841A2C">
      <w:pPr>
        <w:numPr>
          <w:ilvl w:val="0"/>
          <w:numId w:val="3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 xml:space="preserve">Oversee strategic people </w:t>
      </w:r>
      <w:r w:rsidR="002E3202">
        <w:rPr>
          <w:rFonts w:eastAsia="Times New Roman" w:cs="Times New Roman"/>
          <w:sz w:val="22"/>
          <w:szCs w:val="22"/>
          <w:lang w:eastAsia="en-AU"/>
        </w:rPr>
        <w:t>decisions</w:t>
      </w:r>
      <w:r w:rsidRPr="00841A2C">
        <w:rPr>
          <w:rFonts w:eastAsia="Times New Roman" w:cs="Times New Roman"/>
          <w:sz w:val="22"/>
          <w:szCs w:val="22"/>
          <w:lang w:eastAsia="en-AU"/>
        </w:rPr>
        <w:t>.</w:t>
      </w:r>
    </w:p>
    <w:p w14:paraId="16653093" w14:textId="77777777" w:rsidR="00DF0CCD" w:rsidRDefault="00DF0CCD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</w:p>
    <w:p w14:paraId="6759CBD6" w14:textId="0511C953" w:rsidR="00841A2C" w:rsidRPr="00841A2C" w:rsidRDefault="00841A2C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841A2C">
        <w:rPr>
          <w:rFonts w:eastAsia="Times New Roman" w:cs="Times New Roman"/>
          <w:b/>
          <w:bCs/>
          <w:sz w:val="22"/>
          <w:szCs w:val="22"/>
          <w:lang w:eastAsia="en-AU"/>
        </w:rPr>
        <w:lastRenderedPageBreak/>
        <w:t>Succession Planning</w:t>
      </w:r>
    </w:p>
    <w:p w14:paraId="7AEDB2E5" w14:textId="40A024B7" w:rsidR="00841A2C" w:rsidRPr="00841A2C" w:rsidRDefault="00841A2C" w:rsidP="00841A2C">
      <w:pPr>
        <w:numPr>
          <w:ilvl w:val="0"/>
          <w:numId w:val="34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Oversee succession plans for the CEO and senior leadership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0BF4F973" w14:textId="6565FCA2" w:rsidR="00841A2C" w:rsidRPr="00841A2C" w:rsidRDefault="00841A2C" w:rsidP="00841A2C">
      <w:pPr>
        <w:numPr>
          <w:ilvl w:val="0"/>
          <w:numId w:val="34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Oversee Board and Committee succession, including skills matrices</w:t>
      </w:r>
      <w:r w:rsidR="00BE22A6">
        <w:rPr>
          <w:rFonts w:eastAsia="Times New Roman" w:cs="Times New Roman"/>
          <w:sz w:val="22"/>
          <w:szCs w:val="22"/>
          <w:lang w:eastAsia="en-AU"/>
        </w:rPr>
        <w:t>,</w:t>
      </w:r>
      <w:r w:rsidRPr="00841A2C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D55F8B">
        <w:rPr>
          <w:rFonts w:eastAsia="Times New Roman" w:cs="Times New Roman"/>
          <w:sz w:val="22"/>
          <w:szCs w:val="22"/>
          <w:lang w:eastAsia="en-AU"/>
        </w:rPr>
        <w:t xml:space="preserve">external board and committee nominations </w:t>
      </w:r>
      <w:r w:rsidRPr="00841A2C">
        <w:rPr>
          <w:rFonts w:eastAsia="Times New Roman" w:cs="Times New Roman"/>
          <w:sz w:val="22"/>
          <w:szCs w:val="22"/>
          <w:lang w:eastAsia="en-AU"/>
        </w:rPr>
        <w:t>and appointments.</w:t>
      </w:r>
    </w:p>
    <w:p w14:paraId="501266CD" w14:textId="6BAD6A45" w:rsidR="00841A2C" w:rsidRPr="00841A2C" w:rsidRDefault="00841A2C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841A2C">
        <w:rPr>
          <w:rFonts w:eastAsia="Times New Roman" w:cs="Times New Roman"/>
          <w:b/>
          <w:bCs/>
          <w:sz w:val="22"/>
          <w:szCs w:val="22"/>
          <w:lang w:eastAsia="en-AU"/>
        </w:rPr>
        <w:t>Board Performance and Development</w:t>
      </w:r>
    </w:p>
    <w:p w14:paraId="6CFE9EE3" w14:textId="4C7B16E7" w:rsidR="00841A2C" w:rsidRPr="00841A2C" w:rsidRDefault="00841A2C" w:rsidP="00841A2C">
      <w:pPr>
        <w:numPr>
          <w:ilvl w:val="0"/>
          <w:numId w:val="35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Oversee the performance evaluation process for the Board, its Committees, and Directors</w:t>
      </w:r>
      <w:r w:rsidR="00DF0CCD">
        <w:rPr>
          <w:rFonts w:eastAsia="Times New Roman" w:cs="Times New Roman"/>
          <w:sz w:val="22"/>
          <w:szCs w:val="22"/>
          <w:lang w:eastAsia="en-AU"/>
        </w:rPr>
        <w:t>;</w:t>
      </w:r>
    </w:p>
    <w:p w14:paraId="7F225130" w14:textId="4256781F" w:rsidR="00841A2C" w:rsidRPr="00841A2C" w:rsidRDefault="00841A2C" w:rsidP="00841A2C">
      <w:pPr>
        <w:numPr>
          <w:ilvl w:val="0"/>
          <w:numId w:val="35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Oversee Director induction and ongoing professional development</w:t>
      </w:r>
      <w:r w:rsidR="00E7076A">
        <w:rPr>
          <w:rFonts w:eastAsia="Times New Roman" w:cs="Times New Roman"/>
          <w:sz w:val="22"/>
          <w:szCs w:val="22"/>
          <w:lang w:eastAsia="en-AU"/>
        </w:rPr>
        <w:t>.</w:t>
      </w:r>
    </w:p>
    <w:p w14:paraId="07ADC942" w14:textId="7DAF3F02" w:rsidR="00841A2C" w:rsidRPr="00841A2C" w:rsidRDefault="00E7076A" w:rsidP="00841A2C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sz w:val="22"/>
          <w:szCs w:val="22"/>
          <w:lang w:eastAsia="en-AU"/>
        </w:rPr>
        <w:t>Workplace</w:t>
      </w:r>
      <w:r w:rsidR="00841A2C" w:rsidRPr="00841A2C">
        <w:rPr>
          <w:rFonts w:eastAsia="Times New Roman" w:cs="Times New Roman"/>
          <w:b/>
          <w:bCs/>
          <w:sz w:val="22"/>
          <w:szCs w:val="22"/>
          <w:lang w:eastAsia="en-AU"/>
        </w:rPr>
        <w:t xml:space="preserve"> Health and Safety (WHS)</w:t>
      </w:r>
    </w:p>
    <w:p w14:paraId="310EADC3" w14:textId="29C23A35" w:rsidR="00841A2C" w:rsidRPr="00841A2C" w:rsidRDefault="00A0143E" w:rsidP="00841A2C">
      <w:pPr>
        <w:numPr>
          <w:ilvl w:val="0"/>
          <w:numId w:val="3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M</w:t>
      </w:r>
      <w:r w:rsidR="00DF0CCD">
        <w:rPr>
          <w:rFonts w:eastAsia="Times New Roman" w:cs="Times New Roman"/>
          <w:sz w:val="22"/>
          <w:szCs w:val="22"/>
          <w:lang w:eastAsia="en-AU"/>
        </w:rPr>
        <w:t xml:space="preserve">onitor </w:t>
      </w:r>
      <w:r>
        <w:rPr>
          <w:rFonts w:eastAsia="Times New Roman" w:cs="Times New Roman"/>
          <w:sz w:val="22"/>
          <w:szCs w:val="22"/>
          <w:lang w:eastAsia="en-AU"/>
        </w:rPr>
        <w:t xml:space="preserve">and assess the </w:t>
      </w:r>
      <w:r w:rsidR="00841A2C" w:rsidRPr="00841A2C">
        <w:rPr>
          <w:rFonts w:eastAsia="Times New Roman" w:cs="Times New Roman"/>
          <w:sz w:val="22"/>
          <w:szCs w:val="22"/>
          <w:lang w:eastAsia="en-AU"/>
        </w:rPr>
        <w:t>effectiveness of the WHS management system, policies, and procedures</w:t>
      </w:r>
      <w:r w:rsidR="00DF0CCD">
        <w:rPr>
          <w:rFonts w:eastAsia="Times New Roman" w:cs="Times New Roman"/>
          <w:sz w:val="22"/>
          <w:szCs w:val="22"/>
          <w:lang w:eastAsia="en-AU"/>
        </w:rPr>
        <w:t xml:space="preserve"> and its compliance with relevant legislation</w:t>
      </w:r>
      <w:r w:rsidR="00E7076A">
        <w:rPr>
          <w:rFonts w:eastAsia="Times New Roman" w:cs="Times New Roman"/>
          <w:sz w:val="22"/>
          <w:szCs w:val="22"/>
          <w:lang w:eastAsia="en-AU"/>
        </w:rPr>
        <w:t>;</w:t>
      </w:r>
    </w:p>
    <w:p w14:paraId="27FEE8D6" w14:textId="42E822C4" w:rsidR="009704B7" w:rsidRPr="009704B7" w:rsidRDefault="00841A2C" w:rsidP="009704B7">
      <w:pPr>
        <w:numPr>
          <w:ilvl w:val="0"/>
          <w:numId w:val="3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41A2C">
        <w:rPr>
          <w:rFonts w:eastAsia="Times New Roman" w:cs="Times New Roman"/>
          <w:sz w:val="22"/>
          <w:szCs w:val="22"/>
          <w:lang w:eastAsia="en-AU"/>
        </w:rPr>
        <w:t>Review WHS performance reports, including incidents, hazards, and wellbeing initiatives.</w:t>
      </w:r>
    </w:p>
    <w:p w14:paraId="1849B1BA" w14:textId="1DDC503D" w:rsidR="00EB74B5" w:rsidRPr="009704B7" w:rsidRDefault="00EB74B5" w:rsidP="009704B7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704B7">
        <w:rPr>
          <w:rFonts w:eastAsia="Times New Roman" w:cs="Times New Roman"/>
          <w:b/>
          <w:bCs/>
          <w:sz w:val="22"/>
          <w:szCs w:val="22"/>
          <w:lang w:eastAsia="en-AU"/>
        </w:rPr>
        <w:t>Review and recommend</w:t>
      </w:r>
      <w:r w:rsidRPr="009704B7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AE7188" w:rsidRPr="009704B7">
        <w:rPr>
          <w:rFonts w:eastAsia="Times New Roman" w:cs="Times New Roman"/>
          <w:sz w:val="22"/>
          <w:szCs w:val="22"/>
          <w:lang w:eastAsia="en-AU"/>
        </w:rPr>
        <w:t xml:space="preserve">relevant </w:t>
      </w:r>
      <w:r w:rsidRPr="009704B7">
        <w:rPr>
          <w:rFonts w:eastAsia="Times New Roman" w:cs="Times New Roman"/>
          <w:sz w:val="22"/>
          <w:szCs w:val="22"/>
          <w:lang w:eastAsia="en-AU"/>
        </w:rPr>
        <w:t>policies to the Board for approval</w:t>
      </w:r>
      <w:r w:rsidR="00AE7188" w:rsidRPr="009704B7">
        <w:rPr>
          <w:rFonts w:eastAsia="Times New Roman" w:cs="Times New Roman"/>
          <w:sz w:val="22"/>
          <w:szCs w:val="22"/>
          <w:lang w:eastAsia="en-AU"/>
        </w:rPr>
        <w:t xml:space="preserve"> as determined by the Governance, Risk and Compliance Committee. </w:t>
      </w:r>
    </w:p>
    <w:p w14:paraId="33814E5A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t>Membership</w:t>
      </w:r>
    </w:p>
    <w:p w14:paraId="667B5345" w14:textId="77777777" w:rsidR="00CC1122" w:rsidRDefault="002F0C38" w:rsidP="00CC1122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</w:t>
      </w:r>
      <w:r w:rsidR="002E3202">
        <w:rPr>
          <w:sz w:val="22"/>
          <w:szCs w:val="22"/>
          <w:lang w:val="en-US"/>
        </w:rPr>
        <w:t>PC</w:t>
      </w:r>
      <w:r w:rsidRPr="00E14218">
        <w:rPr>
          <w:sz w:val="22"/>
          <w:szCs w:val="22"/>
          <w:lang w:val="en-US"/>
        </w:rPr>
        <w:t xml:space="preserve">C will comprise a </w:t>
      </w:r>
      <w:r w:rsidRPr="000B0505">
        <w:rPr>
          <w:b/>
          <w:bCs/>
          <w:sz w:val="22"/>
          <w:szCs w:val="22"/>
          <w:lang w:val="en-US"/>
        </w:rPr>
        <w:t xml:space="preserve">minimum of </w:t>
      </w:r>
      <w:r w:rsidR="002A7089" w:rsidRPr="000B0505">
        <w:rPr>
          <w:b/>
          <w:bCs/>
          <w:sz w:val="22"/>
          <w:szCs w:val="22"/>
          <w:lang w:val="en-US"/>
        </w:rPr>
        <w:t xml:space="preserve">three </w:t>
      </w:r>
      <w:r w:rsidRPr="000B0505">
        <w:rPr>
          <w:b/>
          <w:bCs/>
          <w:sz w:val="22"/>
          <w:szCs w:val="22"/>
          <w:lang w:val="en-US"/>
        </w:rPr>
        <w:t>and a maximum of five</w:t>
      </w:r>
      <w:r w:rsidRPr="000B0505">
        <w:rPr>
          <w:sz w:val="22"/>
          <w:szCs w:val="22"/>
          <w:lang w:val="en-US"/>
        </w:rPr>
        <w:t xml:space="preserve"> members. These members will typically be directors of the Board. </w:t>
      </w:r>
      <w:r w:rsidR="00CC1122" w:rsidRPr="00CC1122">
        <w:rPr>
          <w:sz w:val="22"/>
          <w:szCs w:val="22"/>
          <w:lang w:val="en-US"/>
        </w:rPr>
        <w:t xml:space="preserve">The Committee must have at least one member who is an independent external person to the Board. </w:t>
      </w:r>
    </w:p>
    <w:p w14:paraId="654F1912" w14:textId="77777777" w:rsidR="00CC1122" w:rsidRDefault="00927458" w:rsidP="00CC112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C1122">
        <w:rPr>
          <w:sz w:val="22"/>
          <w:szCs w:val="22"/>
          <w:lang w:val="en-US"/>
        </w:rPr>
        <w:t>The Chair and members of the Committee are appointed at the discretion of the Board;</w:t>
      </w:r>
    </w:p>
    <w:p w14:paraId="5FA5A4FB" w14:textId="77777777" w:rsidR="00CC1122" w:rsidRPr="00CC1122" w:rsidRDefault="000E5590" w:rsidP="00CC112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C1122">
        <w:rPr>
          <w:sz w:val="22"/>
          <w:szCs w:val="22"/>
        </w:rPr>
        <w:t>The Chair of the Board</w:t>
      </w:r>
      <w:r w:rsidR="00927458" w:rsidRPr="00CC1122">
        <w:rPr>
          <w:sz w:val="22"/>
          <w:szCs w:val="22"/>
        </w:rPr>
        <w:t>,</w:t>
      </w:r>
      <w:r w:rsidRPr="00CC1122">
        <w:rPr>
          <w:sz w:val="22"/>
          <w:szCs w:val="22"/>
        </w:rPr>
        <w:t xml:space="preserve"> will be </w:t>
      </w:r>
      <w:r w:rsidR="00E70F0A" w:rsidRPr="00CC1122">
        <w:rPr>
          <w:sz w:val="22"/>
          <w:szCs w:val="22"/>
        </w:rPr>
        <w:t xml:space="preserve">a </w:t>
      </w:r>
      <w:r w:rsidR="002E625B" w:rsidRPr="00CC1122">
        <w:rPr>
          <w:sz w:val="22"/>
          <w:szCs w:val="22"/>
        </w:rPr>
        <w:t xml:space="preserve">member of the </w:t>
      </w:r>
      <w:r w:rsidRPr="00CC1122">
        <w:rPr>
          <w:sz w:val="22"/>
          <w:szCs w:val="22"/>
        </w:rPr>
        <w:t xml:space="preserve">Committee </w:t>
      </w:r>
      <w:r w:rsidR="00927458" w:rsidRPr="00CC1122">
        <w:rPr>
          <w:sz w:val="22"/>
          <w:szCs w:val="22"/>
        </w:rPr>
        <w:t>but ca</w:t>
      </w:r>
      <w:r w:rsidR="00073312" w:rsidRPr="00CC1122">
        <w:rPr>
          <w:sz w:val="22"/>
          <w:szCs w:val="22"/>
        </w:rPr>
        <w:t>n</w:t>
      </w:r>
      <w:r w:rsidR="00E70F0A" w:rsidRPr="00CC1122">
        <w:rPr>
          <w:sz w:val="22"/>
          <w:szCs w:val="22"/>
        </w:rPr>
        <w:t xml:space="preserve">not </w:t>
      </w:r>
      <w:r w:rsidR="00073312" w:rsidRPr="00CC1122">
        <w:rPr>
          <w:sz w:val="22"/>
          <w:szCs w:val="22"/>
        </w:rPr>
        <w:t xml:space="preserve">be the Committee </w:t>
      </w:r>
      <w:r w:rsidR="000F4502" w:rsidRPr="00CC1122">
        <w:rPr>
          <w:sz w:val="22"/>
          <w:szCs w:val="22"/>
        </w:rPr>
        <w:t>C</w:t>
      </w:r>
      <w:r w:rsidR="00E70F0A" w:rsidRPr="00CC1122">
        <w:rPr>
          <w:sz w:val="22"/>
          <w:szCs w:val="22"/>
        </w:rPr>
        <w:t>hair</w:t>
      </w:r>
      <w:r w:rsidR="000F4502" w:rsidRPr="00CC1122">
        <w:rPr>
          <w:sz w:val="22"/>
          <w:szCs w:val="22"/>
        </w:rPr>
        <w:t>;</w:t>
      </w:r>
    </w:p>
    <w:p w14:paraId="3F993EDC" w14:textId="77777777" w:rsidR="00CC1122" w:rsidRDefault="000E5590" w:rsidP="00CC112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C1122">
        <w:rPr>
          <w:sz w:val="22"/>
          <w:szCs w:val="22"/>
          <w:lang w:val="en-US"/>
        </w:rPr>
        <w:t xml:space="preserve">Other directors of the Board may attend </w:t>
      </w:r>
      <w:r w:rsidR="009704B7" w:rsidRPr="00CC1122">
        <w:rPr>
          <w:sz w:val="22"/>
          <w:szCs w:val="22"/>
          <w:lang w:val="en-US"/>
        </w:rPr>
        <w:t>PC</w:t>
      </w:r>
      <w:r w:rsidRPr="00CC1122">
        <w:rPr>
          <w:sz w:val="22"/>
          <w:szCs w:val="22"/>
          <w:lang w:val="en-US"/>
        </w:rPr>
        <w:t>C meetings, without voting rights;</w:t>
      </w:r>
    </w:p>
    <w:p w14:paraId="2689CBFC" w14:textId="55552C81" w:rsidR="006B0C7E" w:rsidRPr="00CC1122" w:rsidRDefault="006B0C7E" w:rsidP="00CC112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C1122">
        <w:rPr>
          <w:sz w:val="22"/>
          <w:szCs w:val="22"/>
          <w:lang w:val="en-US"/>
        </w:rPr>
        <w:t xml:space="preserve">At least one member must have recent and relevant </w:t>
      </w:r>
      <w:r w:rsidR="002E3202" w:rsidRPr="00CC1122">
        <w:rPr>
          <w:sz w:val="22"/>
          <w:szCs w:val="22"/>
          <w:lang w:val="en-US"/>
        </w:rPr>
        <w:t>human resources or related</w:t>
      </w:r>
      <w:r w:rsidRPr="00CC1122">
        <w:rPr>
          <w:sz w:val="22"/>
          <w:szCs w:val="22"/>
          <w:lang w:val="en-US"/>
        </w:rPr>
        <w:t xml:space="preserve"> expertise.</w:t>
      </w:r>
    </w:p>
    <w:p w14:paraId="1D5D9057" w14:textId="26E609A8" w:rsidR="00BE7015" w:rsidRPr="00C3689E" w:rsidRDefault="00BE7015" w:rsidP="00D02DB5">
      <w:pPr>
        <w:rPr>
          <w:sz w:val="22"/>
          <w:szCs w:val="22"/>
          <w:lang w:val="en-US"/>
        </w:rPr>
      </w:pPr>
      <w:r w:rsidRPr="00D02DB5">
        <w:rPr>
          <w:sz w:val="22"/>
          <w:szCs w:val="22"/>
          <w:lang w:val="en-US"/>
        </w:rPr>
        <w:t xml:space="preserve">The Chief Executive Officer </w:t>
      </w:r>
      <w:r>
        <w:rPr>
          <w:sz w:val="22"/>
          <w:szCs w:val="22"/>
          <w:lang w:val="en-US"/>
        </w:rPr>
        <w:t>is a</w:t>
      </w:r>
      <w:r w:rsidRPr="00D02DB5">
        <w:rPr>
          <w:sz w:val="22"/>
          <w:szCs w:val="22"/>
          <w:lang w:val="en-US"/>
        </w:rPr>
        <w:t xml:space="preserve"> required attendee</w:t>
      </w:r>
      <w:r w:rsidR="000F4502">
        <w:rPr>
          <w:sz w:val="22"/>
          <w:szCs w:val="22"/>
          <w:lang w:val="en-US"/>
        </w:rPr>
        <w:t>,</w:t>
      </w:r>
      <w:r w:rsidRPr="00D02DB5">
        <w:rPr>
          <w:sz w:val="22"/>
          <w:szCs w:val="22"/>
          <w:lang w:val="en-US"/>
        </w:rPr>
        <w:t xml:space="preserve"> unless determined otherwise by the committee</w:t>
      </w:r>
      <w:r w:rsidRPr="00C3689E">
        <w:rPr>
          <w:sz w:val="22"/>
          <w:szCs w:val="22"/>
          <w:lang w:val="en-US"/>
        </w:rPr>
        <w:t>.</w:t>
      </w:r>
      <w:r w:rsidR="000B0505">
        <w:rPr>
          <w:sz w:val="22"/>
          <w:szCs w:val="22"/>
          <w:lang w:val="en-US"/>
        </w:rPr>
        <w:t xml:space="preserve"> The CEO may also nominate additional ADAQ team member participation if required by the </w:t>
      </w:r>
      <w:r w:rsidR="001A0D78">
        <w:rPr>
          <w:sz w:val="22"/>
          <w:szCs w:val="22"/>
          <w:lang w:val="en-US"/>
        </w:rPr>
        <w:t>committee and/or agenda.</w:t>
      </w:r>
    </w:p>
    <w:p w14:paraId="76105AC1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t xml:space="preserve">Term of membership </w:t>
      </w:r>
    </w:p>
    <w:p w14:paraId="6C76A3A2" w14:textId="4DF29057" w:rsidR="002F0C38" w:rsidRPr="001A0D7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Membership should be considered on a </w:t>
      </w:r>
      <w:r w:rsidR="00376B22" w:rsidRPr="001A0D78">
        <w:rPr>
          <w:b/>
          <w:bCs/>
          <w:sz w:val="22"/>
          <w:szCs w:val="22"/>
          <w:lang w:val="en-US"/>
        </w:rPr>
        <w:t>two</w:t>
      </w:r>
      <w:r w:rsidRPr="001A0D78">
        <w:rPr>
          <w:b/>
          <w:bCs/>
          <w:sz w:val="22"/>
          <w:szCs w:val="22"/>
          <w:lang w:val="en-US"/>
        </w:rPr>
        <w:t>-year basis</w:t>
      </w:r>
      <w:r w:rsidRPr="001A0D78">
        <w:rPr>
          <w:sz w:val="22"/>
          <w:szCs w:val="22"/>
          <w:lang w:val="en-US"/>
        </w:rPr>
        <w:t xml:space="preserve"> or as vacancies arise for directors of the Board.</w:t>
      </w:r>
    </w:p>
    <w:p w14:paraId="1E707211" w14:textId="5B3FF657" w:rsidR="002F0C38" w:rsidRPr="001A0D78" w:rsidRDefault="002F0C38" w:rsidP="002F0C38">
      <w:pPr>
        <w:rPr>
          <w:sz w:val="22"/>
          <w:szCs w:val="22"/>
          <w:lang w:val="en-US"/>
        </w:rPr>
      </w:pPr>
      <w:r w:rsidRPr="001A0D78">
        <w:rPr>
          <w:sz w:val="22"/>
          <w:szCs w:val="22"/>
          <w:lang w:val="en-US"/>
        </w:rPr>
        <w:t xml:space="preserve">Independent external members of the </w:t>
      </w:r>
      <w:r w:rsidR="002E3202" w:rsidRPr="001A0D78">
        <w:rPr>
          <w:sz w:val="22"/>
          <w:szCs w:val="22"/>
          <w:lang w:val="en-US"/>
        </w:rPr>
        <w:t>PC</w:t>
      </w:r>
      <w:r w:rsidR="002B20B3" w:rsidRPr="001A0D78">
        <w:rPr>
          <w:sz w:val="22"/>
          <w:szCs w:val="22"/>
          <w:lang w:val="en-US"/>
        </w:rPr>
        <w:t>C</w:t>
      </w:r>
      <w:r w:rsidRPr="001A0D78">
        <w:rPr>
          <w:sz w:val="22"/>
          <w:szCs w:val="22"/>
          <w:lang w:val="en-US"/>
        </w:rPr>
        <w:t xml:space="preserve"> may be appointed for a specified term of </w:t>
      </w:r>
      <w:r w:rsidRPr="001A0D78">
        <w:rPr>
          <w:b/>
          <w:bCs/>
          <w:sz w:val="22"/>
          <w:szCs w:val="22"/>
          <w:lang w:val="en-US"/>
        </w:rPr>
        <w:t>two years</w:t>
      </w:r>
      <w:r w:rsidRPr="001A0D78">
        <w:rPr>
          <w:sz w:val="22"/>
          <w:szCs w:val="22"/>
          <w:lang w:val="en-US"/>
        </w:rPr>
        <w:t>.</w:t>
      </w:r>
    </w:p>
    <w:p w14:paraId="0705A00C" w14:textId="178D90BB" w:rsidR="00C3689E" w:rsidRDefault="00C3689E" w:rsidP="002F0C38">
      <w:pPr>
        <w:rPr>
          <w:sz w:val="22"/>
          <w:szCs w:val="22"/>
          <w:lang w:val="en-US"/>
        </w:rPr>
      </w:pPr>
      <w:r w:rsidRPr="001A0D78">
        <w:rPr>
          <w:sz w:val="22"/>
          <w:szCs w:val="22"/>
          <w:lang w:val="en-US"/>
        </w:rPr>
        <w:t>It is recommended that committee members serve a maximum of six (6) years.  This is at the board’s discretion and members can serve more or less time than six (6) years.</w:t>
      </w:r>
    </w:p>
    <w:p w14:paraId="576A41C3" w14:textId="052F1C6E" w:rsidR="009704B7" w:rsidRPr="00A9719E" w:rsidRDefault="009704B7" w:rsidP="002F0C38">
      <w:pPr>
        <w:rPr>
          <w:b/>
          <w:bCs/>
          <w:sz w:val="22"/>
          <w:szCs w:val="22"/>
          <w:lang w:val="en-US"/>
        </w:rPr>
      </w:pPr>
      <w:r w:rsidRPr="00A9719E">
        <w:rPr>
          <w:b/>
          <w:bCs/>
          <w:sz w:val="22"/>
          <w:szCs w:val="22"/>
        </w:rPr>
        <w:t xml:space="preserve">Appointments to these roles shall be (re)confirmed </w:t>
      </w:r>
      <w:r w:rsidR="00A9719E" w:rsidRPr="00A9719E">
        <w:rPr>
          <w:b/>
          <w:bCs/>
          <w:sz w:val="22"/>
          <w:szCs w:val="22"/>
        </w:rPr>
        <w:t xml:space="preserve">every two years </w:t>
      </w:r>
      <w:r w:rsidRPr="00A9719E">
        <w:rPr>
          <w:b/>
          <w:bCs/>
          <w:sz w:val="22"/>
          <w:szCs w:val="22"/>
        </w:rPr>
        <w:t>by the Board</w:t>
      </w:r>
      <w:r w:rsidRPr="00A9719E">
        <w:rPr>
          <w:b/>
          <w:bCs/>
          <w:sz w:val="22"/>
          <w:szCs w:val="22"/>
          <w:lang w:val="en-US"/>
        </w:rPr>
        <w:t>.</w:t>
      </w:r>
    </w:p>
    <w:p w14:paraId="5AD4C586" w14:textId="77777777" w:rsidR="002F0C38" w:rsidRPr="00497AA7" w:rsidRDefault="002F0C38" w:rsidP="002F0C38">
      <w:pPr>
        <w:pStyle w:val="Heading2"/>
        <w:rPr>
          <w:lang w:val="en-US"/>
        </w:rPr>
      </w:pPr>
      <w:r>
        <w:rPr>
          <w:lang w:val="en-US"/>
        </w:rPr>
        <w:t>committee operations</w:t>
      </w:r>
    </w:p>
    <w:p w14:paraId="2FAA8D3B" w14:textId="10CE37DA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</w:t>
      </w:r>
      <w:r w:rsidR="00AC1A7A">
        <w:rPr>
          <w:sz w:val="22"/>
          <w:szCs w:val="22"/>
          <w:lang w:val="en-US"/>
        </w:rPr>
        <w:t>PC</w:t>
      </w:r>
      <w:r w:rsidR="00612EED" w:rsidRPr="00E14218">
        <w:rPr>
          <w:sz w:val="22"/>
          <w:szCs w:val="22"/>
          <w:lang w:val="en-US"/>
        </w:rPr>
        <w:t>C</w:t>
      </w:r>
      <w:r w:rsidRPr="00E14218">
        <w:rPr>
          <w:sz w:val="22"/>
          <w:szCs w:val="22"/>
          <w:lang w:val="en-US"/>
        </w:rPr>
        <w:t xml:space="preserve"> will meet </w:t>
      </w:r>
      <w:r w:rsidRPr="00E14218">
        <w:rPr>
          <w:b/>
          <w:bCs/>
          <w:sz w:val="22"/>
          <w:szCs w:val="22"/>
          <w:lang w:val="en-US"/>
        </w:rPr>
        <w:t xml:space="preserve">no less than </w:t>
      </w:r>
      <w:r w:rsidR="002B20B3" w:rsidRPr="00E14218">
        <w:rPr>
          <w:b/>
          <w:bCs/>
          <w:sz w:val="22"/>
          <w:szCs w:val="22"/>
          <w:lang w:val="en-US"/>
        </w:rPr>
        <w:t>4</w:t>
      </w:r>
      <w:r w:rsidRPr="00E14218">
        <w:rPr>
          <w:b/>
          <w:bCs/>
          <w:sz w:val="22"/>
          <w:szCs w:val="22"/>
          <w:lang w:val="en-US"/>
        </w:rPr>
        <w:t xml:space="preserve"> times</w:t>
      </w:r>
      <w:r w:rsidRPr="00E14218">
        <w:rPr>
          <w:sz w:val="22"/>
          <w:szCs w:val="22"/>
          <w:lang w:val="en-US"/>
        </w:rPr>
        <w:t xml:space="preserve"> per year. Meetings may be a combination of virtual and in person.</w:t>
      </w:r>
      <w:r w:rsidR="003F4FE4">
        <w:rPr>
          <w:sz w:val="22"/>
          <w:szCs w:val="22"/>
          <w:lang w:val="en-US"/>
        </w:rPr>
        <w:t xml:space="preserve"> </w:t>
      </w:r>
      <w:r w:rsidR="00E7076A">
        <w:rPr>
          <w:sz w:val="22"/>
          <w:szCs w:val="22"/>
          <w:lang w:val="en-US"/>
        </w:rPr>
        <w:br/>
      </w:r>
      <w:r w:rsidR="003F4FE4">
        <w:rPr>
          <w:sz w:val="22"/>
          <w:szCs w:val="22"/>
          <w:lang w:val="en-US"/>
        </w:rPr>
        <w:t xml:space="preserve">The meetings will be </w:t>
      </w:r>
      <w:proofErr w:type="gramStart"/>
      <w:r w:rsidR="003F4FE4" w:rsidRPr="003F4FE4">
        <w:rPr>
          <w:sz w:val="22"/>
          <w:szCs w:val="22"/>
          <w:lang w:val="en-US"/>
        </w:rPr>
        <w:t>timed</w:t>
      </w:r>
      <w:proofErr w:type="gramEnd"/>
      <w:r w:rsidR="003F4FE4" w:rsidRPr="003F4FE4">
        <w:rPr>
          <w:sz w:val="22"/>
          <w:szCs w:val="22"/>
          <w:lang w:val="en-US"/>
        </w:rPr>
        <w:t xml:space="preserve"> to align with ADAQ's </w:t>
      </w:r>
      <w:r w:rsidR="00AC1A7A">
        <w:rPr>
          <w:sz w:val="22"/>
          <w:szCs w:val="22"/>
          <w:lang w:val="en-US"/>
        </w:rPr>
        <w:t>performance management</w:t>
      </w:r>
      <w:r w:rsidR="003F4FE4" w:rsidRPr="003F4FE4">
        <w:rPr>
          <w:sz w:val="22"/>
          <w:szCs w:val="22"/>
          <w:lang w:val="en-US"/>
        </w:rPr>
        <w:t xml:space="preserve"> cycle, or more frequently as required.</w:t>
      </w:r>
    </w:p>
    <w:p w14:paraId="3CF8EB52" w14:textId="5B0CF27C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If the Chair is absent from a meeting, the other members of the </w:t>
      </w:r>
      <w:r w:rsidR="002B20B3" w:rsidRPr="00E14218">
        <w:rPr>
          <w:sz w:val="22"/>
          <w:szCs w:val="22"/>
          <w:lang w:val="en-US"/>
        </w:rPr>
        <w:t>Committee</w:t>
      </w:r>
      <w:r w:rsidRPr="00E14218">
        <w:rPr>
          <w:sz w:val="22"/>
          <w:szCs w:val="22"/>
          <w:lang w:val="en-US"/>
        </w:rPr>
        <w:t xml:space="preserve"> present will appoint a Chair for that particular meeting. </w:t>
      </w:r>
    </w:p>
    <w:p w14:paraId="34688F4B" w14:textId="169EF886" w:rsidR="002F0C38" w:rsidRPr="00E14218" w:rsidRDefault="002F0C38" w:rsidP="002F0C38">
      <w:pPr>
        <w:rPr>
          <w:b/>
          <w:bCs/>
          <w:sz w:val="22"/>
          <w:szCs w:val="22"/>
          <w:lang w:val="en-US"/>
        </w:rPr>
      </w:pPr>
      <w:r w:rsidRPr="001A0D78">
        <w:rPr>
          <w:b/>
          <w:bCs/>
          <w:sz w:val="22"/>
          <w:szCs w:val="22"/>
          <w:lang w:val="en-US"/>
        </w:rPr>
        <w:lastRenderedPageBreak/>
        <w:t xml:space="preserve">A quorum will be </w:t>
      </w:r>
      <w:r w:rsidR="002C07A0" w:rsidRPr="001A0D78">
        <w:rPr>
          <w:b/>
          <w:bCs/>
          <w:sz w:val="22"/>
          <w:szCs w:val="22"/>
          <w:lang w:val="en-US"/>
        </w:rPr>
        <w:t>three committee members</w:t>
      </w:r>
      <w:r w:rsidRPr="001A0D78">
        <w:rPr>
          <w:b/>
          <w:bCs/>
          <w:sz w:val="22"/>
          <w:szCs w:val="22"/>
          <w:lang w:val="en-US"/>
        </w:rPr>
        <w:t>.</w:t>
      </w:r>
    </w:p>
    <w:p w14:paraId="0BEEE1CF" w14:textId="77777777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 must declare any conflicts of interest at the start of each meeting or before discussion of the relevant agenda item or topics. Details of any conflicts should be appropriately </w:t>
      </w:r>
      <w:proofErr w:type="spellStart"/>
      <w:r w:rsidRPr="00E14218">
        <w:rPr>
          <w:sz w:val="22"/>
          <w:szCs w:val="22"/>
          <w:lang w:val="en-US"/>
        </w:rPr>
        <w:t>minuted</w:t>
      </w:r>
      <w:proofErr w:type="spellEnd"/>
      <w:r w:rsidRPr="00E14218">
        <w:rPr>
          <w:sz w:val="22"/>
          <w:szCs w:val="22"/>
          <w:lang w:val="en-US"/>
        </w:rPr>
        <w:t>.</w:t>
      </w:r>
    </w:p>
    <w:p w14:paraId="66598303" w14:textId="7E7F30E6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After every meeting, minutes will be provided to the Board </w:t>
      </w:r>
      <w:r w:rsidR="00612EED" w:rsidRPr="00E14218">
        <w:rPr>
          <w:sz w:val="22"/>
          <w:szCs w:val="22"/>
          <w:lang w:val="en-US"/>
        </w:rPr>
        <w:t>a</w:t>
      </w:r>
      <w:r w:rsidRPr="00E14218">
        <w:rPr>
          <w:sz w:val="22"/>
          <w:szCs w:val="22"/>
          <w:lang w:val="en-US"/>
        </w:rPr>
        <w:t xml:space="preserve">nd included in the next </w:t>
      </w:r>
      <w:r w:rsidR="00612EED" w:rsidRPr="00E14218">
        <w:rPr>
          <w:sz w:val="22"/>
          <w:szCs w:val="22"/>
          <w:lang w:val="en-US"/>
        </w:rPr>
        <w:t>b</w:t>
      </w:r>
      <w:r w:rsidRPr="00E14218">
        <w:rPr>
          <w:sz w:val="22"/>
          <w:szCs w:val="22"/>
          <w:lang w:val="en-US"/>
        </w:rPr>
        <w:t xml:space="preserve">oard pack. The </w:t>
      </w:r>
      <w:r w:rsidR="00107A60">
        <w:rPr>
          <w:sz w:val="22"/>
          <w:szCs w:val="22"/>
          <w:lang w:val="en-US"/>
        </w:rPr>
        <w:t>PC</w:t>
      </w:r>
      <w:r w:rsidR="00612EED" w:rsidRPr="00E14218">
        <w:rPr>
          <w:sz w:val="22"/>
          <w:szCs w:val="22"/>
          <w:lang w:val="en-US"/>
        </w:rPr>
        <w:t>C</w:t>
      </w:r>
      <w:r w:rsidRPr="00E14218">
        <w:rPr>
          <w:sz w:val="22"/>
          <w:szCs w:val="22"/>
          <w:lang w:val="en-US"/>
        </w:rPr>
        <w:t xml:space="preserve"> Chair may be required to present to the </w:t>
      </w:r>
      <w:r w:rsidR="00E14218" w:rsidRPr="00E14218">
        <w:rPr>
          <w:sz w:val="22"/>
          <w:szCs w:val="22"/>
          <w:lang w:val="en-US"/>
        </w:rPr>
        <w:t>Board</w:t>
      </w:r>
      <w:r w:rsidRPr="00E14218">
        <w:rPr>
          <w:sz w:val="22"/>
          <w:szCs w:val="22"/>
          <w:lang w:val="en-US"/>
        </w:rPr>
        <w:t xml:space="preserve"> items from meetings from time to time.</w:t>
      </w:r>
    </w:p>
    <w:p w14:paraId="1303E881" w14:textId="77777777" w:rsidR="002F0C38" w:rsidRPr="001A0D7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Committee will conduct an </w:t>
      </w:r>
      <w:r w:rsidRPr="001A0D78">
        <w:rPr>
          <w:b/>
          <w:bCs/>
          <w:sz w:val="22"/>
          <w:szCs w:val="22"/>
          <w:lang w:val="en-US"/>
        </w:rPr>
        <w:t>annual evaluation</w:t>
      </w:r>
      <w:r w:rsidRPr="001A0D78">
        <w:rPr>
          <w:sz w:val="22"/>
          <w:szCs w:val="22"/>
          <w:lang w:val="en-US"/>
        </w:rPr>
        <w:t xml:space="preserve"> of its performance and document any changes/improvements identified.</w:t>
      </w:r>
    </w:p>
    <w:p w14:paraId="17FB4B3F" w14:textId="77777777" w:rsidR="002F0C38" w:rsidRPr="00E14218" w:rsidRDefault="002F0C38" w:rsidP="002F0C38">
      <w:pPr>
        <w:rPr>
          <w:sz w:val="22"/>
          <w:szCs w:val="22"/>
          <w:lang w:val="en-US"/>
        </w:rPr>
      </w:pPr>
      <w:r w:rsidRPr="001A0D78">
        <w:rPr>
          <w:sz w:val="22"/>
          <w:szCs w:val="22"/>
          <w:lang w:val="en-US"/>
        </w:rPr>
        <w:t xml:space="preserve">The Committee’s Terms of Reference will be reviewed </w:t>
      </w:r>
      <w:r w:rsidRPr="001A0D78">
        <w:rPr>
          <w:b/>
          <w:bCs/>
          <w:sz w:val="22"/>
          <w:szCs w:val="22"/>
          <w:lang w:val="en-US"/>
        </w:rPr>
        <w:t>every two years</w:t>
      </w:r>
      <w:r w:rsidRPr="001A0D78">
        <w:rPr>
          <w:sz w:val="22"/>
          <w:szCs w:val="22"/>
          <w:lang w:val="en-US"/>
        </w:rPr>
        <w:t>.</w:t>
      </w:r>
    </w:p>
    <w:sectPr w:rsidR="002F0C38" w:rsidRPr="00E14218" w:rsidSect="0041310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388F" w14:textId="77777777" w:rsidR="003E6F6C" w:rsidRDefault="003E6F6C" w:rsidP="009B0FBA">
      <w:pPr>
        <w:spacing w:before="0" w:after="0" w:line="240" w:lineRule="auto"/>
      </w:pPr>
      <w:r>
        <w:separator/>
      </w:r>
    </w:p>
  </w:endnote>
  <w:endnote w:type="continuationSeparator" w:id="0">
    <w:p w14:paraId="0994FE75" w14:textId="77777777" w:rsidR="003E6F6C" w:rsidRDefault="003E6F6C" w:rsidP="009B0F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53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0C279" w14:textId="51935124" w:rsidR="009B0FBA" w:rsidRDefault="009B0F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C7FC" w14:textId="77777777" w:rsidR="009B0FBA" w:rsidRDefault="009B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74E1" w14:textId="77777777" w:rsidR="003E6F6C" w:rsidRDefault="003E6F6C" w:rsidP="009B0FBA">
      <w:pPr>
        <w:spacing w:before="0" w:after="0" w:line="240" w:lineRule="auto"/>
      </w:pPr>
      <w:r>
        <w:separator/>
      </w:r>
    </w:p>
  </w:footnote>
  <w:footnote w:type="continuationSeparator" w:id="0">
    <w:p w14:paraId="42DF6124" w14:textId="77777777" w:rsidR="003E6F6C" w:rsidRDefault="003E6F6C" w:rsidP="009B0F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D5"/>
    <w:multiLevelType w:val="multilevel"/>
    <w:tmpl w:val="9780A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22C4"/>
    <w:multiLevelType w:val="multilevel"/>
    <w:tmpl w:val="F3EA2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54413"/>
    <w:multiLevelType w:val="hybridMultilevel"/>
    <w:tmpl w:val="A96ACCC6"/>
    <w:lvl w:ilvl="0" w:tplc="8A6CE98C">
      <w:start w:val="18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79B7"/>
    <w:multiLevelType w:val="multilevel"/>
    <w:tmpl w:val="75303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6FE"/>
    <w:multiLevelType w:val="hybridMultilevel"/>
    <w:tmpl w:val="A79A40C6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AD4"/>
    <w:multiLevelType w:val="multilevel"/>
    <w:tmpl w:val="86F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B2A75"/>
    <w:multiLevelType w:val="hybridMultilevel"/>
    <w:tmpl w:val="8F982A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4395"/>
    <w:multiLevelType w:val="multilevel"/>
    <w:tmpl w:val="C4D0E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F0058"/>
    <w:multiLevelType w:val="hybridMultilevel"/>
    <w:tmpl w:val="B4B4D03C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1E2A"/>
    <w:multiLevelType w:val="multilevel"/>
    <w:tmpl w:val="AB7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A5F22"/>
    <w:multiLevelType w:val="hybridMultilevel"/>
    <w:tmpl w:val="D2ACD2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A2A7B"/>
    <w:multiLevelType w:val="multilevel"/>
    <w:tmpl w:val="DA64B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57B39"/>
    <w:multiLevelType w:val="multilevel"/>
    <w:tmpl w:val="1E201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71911"/>
    <w:multiLevelType w:val="hybridMultilevel"/>
    <w:tmpl w:val="047AF3D4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53CFF"/>
    <w:multiLevelType w:val="multilevel"/>
    <w:tmpl w:val="9EC8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17A"/>
    <w:multiLevelType w:val="multilevel"/>
    <w:tmpl w:val="2E7E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303C8"/>
    <w:multiLevelType w:val="multilevel"/>
    <w:tmpl w:val="98EAE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D6B2E"/>
    <w:multiLevelType w:val="multilevel"/>
    <w:tmpl w:val="0958E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E5E30"/>
    <w:multiLevelType w:val="hybridMultilevel"/>
    <w:tmpl w:val="66265510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2A2E"/>
    <w:multiLevelType w:val="multilevel"/>
    <w:tmpl w:val="A2B8F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308"/>
    <w:multiLevelType w:val="hybridMultilevel"/>
    <w:tmpl w:val="DA9E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30926"/>
    <w:multiLevelType w:val="multilevel"/>
    <w:tmpl w:val="42C03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72F96"/>
    <w:multiLevelType w:val="multilevel"/>
    <w:tmpl w:val="6E0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11AFD"/>
    <w:multiLevelType w:val="hybridMultilevel"/>
    <w:tmpl w:val="1C6E0C1C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9D9"/>
    <w:multiLevelType w:val="hybridMultilevel"/>
    <w:tmpl w:val="2A7422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E667FA"/>
    <w:multiLevelType w:val="hybridMultilevel"/>
    <w:tmpl w:val="11A682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B296E"/>
    <w:multiLevelType w:val="multilevel"/>
    <w:tmpl w:val="3DDE0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9B43A3"/>
    <w:multiLevelType w:val="multilevel"/>
    <w:tmpl w:val="1C7A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C6EE8"/>
    <w:multiLevelType w:val="hybridMultilevel"/>
    <w:tmpl w:val="1C94AF7A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0C53DD"/>
    <w:multiLevelType w:val="multilevel"/>
    <w:tmpl w:val="378EB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212A2"/>
    <w:multiLevelType w:val="multilevel"/>
    <w:tmpl w:val="28EC2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E5106"/>
    <w:multiLevelType w:val="multilevel"/>
    <w:tmpl w:val="496C1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8439B"/>
    <w:multiLevelType w:val="hybridMultilevel"/>
    <w:tmpl w:val="92AE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D6D4A"/>
    <w:multiLevelType w:val="multilevel"/>
    <w:tmpl w:val="112C3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CA1B51"/>
    <w:multiLevelType w:val="multilevel"/>
    <w:tmpl w:val="6E6CB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445FF0"/>
    <w:multiLevelType w:val="multilevel"/>
    <w:tmpl w:val="77706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730A1"/>
    <w:multiLevelType w:val="multilevel"/>
    <w:tmpl w:val="822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098454">
    <w:abstractNumId w:val="33"/>
  </w:num>
  <w:num w:numId="2" w16cid:durableId="400715732">
    <w:abstractNumId w:val="0"/>
  </w:num>
  <w:num w:numId="3" w16cid:durableId="1257592021">
    <w:abstractNumId w:val="35"/>
  </w:num>
  <w:num w:numId="4" w16cid:durableId="1252738408">
    <w:abstractNumId w:val="14"/>
  </w:num>
  <w:num w:numId="5" w16cid:durableId="102383063">
    <w:abstractNumId w:val="34"/>
  </w:num>
  <w:num w:numId="6" w16cid:durableId="1025473661">
    <w:abstractNumId w:val="16"/>
  </w:num>
  <w:num w:numId="7" w16cid:durableId="480001079">
    <w:abstractNumId w:val="9"/>
  </w:num>
  <w:num w:numId="8" w16cid:durableId="561871710">
    <w:abstractNumId w:val="19"/>
  </w:num>
  <w:num w:numId="9" w16cid:durableId="756247566">
    <w:abstractNumId w:val="26"/>
  </w:num>
  <w:num w:numId="10" w16cid:durableId="1654799322">
    <w:abstractNumId w:val="6"/>
  </w:num>
  <w:num w:numId="11" w16cid:durableId="329869685">
    <w:abstractNumId w:val="25"/>
  </w:num>
  <w:num w:numId="12" w16cid:durableId="454057347">
    <w:abstractNumId w:val="15"/>
  </w:num>
  <w:num w:numId="13" w16cid:durableId="1830706492">
    <w:abstractNumId w:val="21"/>
  </w:num>
  <w:num w:numId="14" w16cid:durableId="425078272">
    <w:abstractNumId w:val="7"/>
  </w:num>
  <w:num w:numId="15" w16cid:durableId="344676801">
    <w:abstractNumId w:val="30"/>
  </w:num>
  <w:num w:numId="16" w16cid:durableId="597180103">
    <w:abstractNumId w:val="1"/>
  </w:num>
  <w:num w:numId="17" w16cid:durableId="2050952904">
    <w:abstractNumId w:val="28"/>
  </w:num>
  <w:num w:numId="18" w16cid:durableId="523322446">
    <w:abstractNumId w:val="24"/>
  </w:num>
  <w:num w:numId="19" w16cid:durableId="1646738665">
    <w:abstractNumId w:val="2"/>
  </w:num>
  <w:num w:numId="20" w16cid:durableId="728071678">
    <w:abstractNumId w:val="20"/>
  </w:num>
  <w:num w:numId="21" w16cid:durableId="997882078">
    <w:abstractNumId w:val="13"/>
  </w:num>
  <w:num w:numId="22" w16cid:durableId="1955096597">
    <w:abstractNumId w:val="22"/>
  </w:num>
  <w:num w:numId="23" w16cid:durableId="751587105">
    <w:abstractNumId w:val="32"/>
  </w:num>
  <w:num w:numId="24" w16cid:durableId="647829692">
    <w:abstractNumId w:val="4"/>
  </w:num>
  <w:num w:numId="25" w16cid:durableId="1077821210">
    <w:abstractNumId w:val="8"/>
  </w:num>
  <w:num w:numId="26" w16cid:durableId="1794245438">
    <w:abstractNumId w:val="3"/>
  </w:num>
  <w:num w:numId="27" w16cid:durableId="1054698913">
    <w:abstractNumId w:val="5"/>
  </w:num>
  <w:num w:numId="28" w16cid:durableId="560167381">
    <w:abstractNumId w:val="36"/>
  </w:num>
  <w:num w:numId="29" w16cid:durableId="609896919">
    <w:abstractNumId w:val="11"/>
  </w:num>
  <w:num w:numId="30" w16cid:durableId="1961954045">
    <w:abstractNumId w:val="23"/>
  </w:num>
  <w:num w:numId="31" w16cid:durableId="1061371398">
    <w:abstractNumId w:val="18"/>
  </w:num>
  <w:num w:numId="32" w16cid:durableId="1990133438">
    <w:abstractNumId w:val="17"/>
  </w:num>
  <w:num w:numId="33" w16cid:durableId="603461060">
    <w:abstractNumId w:val="29"/>
  </w:num>
  <w:num w:numId="34" w16cid:durableId="1296109123">
    <w:abstractNumId w:val="12"/>
  </w:num>
  <w:num w:numId="35" w16cid:durableId="288129018">
    <w:abstractNumId w:val="27"/>
  </w:num>
  <w:num w:numId="36" w16cid:durableId="823546877">
    <w:abstractNumId w:val="31"/>
  </w:num>
  <w:num w:numId="37" w16cid:durableId="77295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65469"/>
    <w:rsid w:val="00073312"/>
    <w:rsid w:val="000949CA"/>
    <w:rsid w:val="000B0505"/>
    <w:rsid w:val="000C154B"/>
    <w:rsid w:val="000E51C2"/>
    <w:rsid w:val="000E5590"/>
    <w:rsid w:val="000F4502"/>
    <w:rsid w:val="00101144"/>
    <w:rsid w:val="00105704"/>
    <w:rsid w:val="00107A60"/>
    <w:rsid w:val="0012445E"/>
    <w:rsid w:val="001637A4"/>
    <w:rsid w:val="001A0D78"/>
    <w:rsid w:val="001E0EA7"/>
    <w:rsid w:val="002207BC"/>
    <w:rsid w:val="00243748"/>
    <w:rsid w:val="00255098"/>
    <w:rsid w:val="0025689F"/>
    <w:rsid w:val="0026621F"/>
    <w:rsid w:val="002704E4"/>
    <w:rsid w:val="00271652"/>
    <w:rsid w:val="00276955"/>
    <w:rsid w:val="002A7089"/>
    <w:rsid w:val="002B20B3"/>
    <w:rsid w:val="002B750E"/>
    <w:rsid w:val="002C07A0"/>
    <w:rsid w:val="002D1160"/>
    <w:rsid w:val="002E3202"/>
    <w:rsid w:val="002E625B"/>
    <w:rsid w:val="002F0C38"/>
    <w:rsid w:val="0032125F"/>
    <w:rsid w:val="00376A14"/>
    <w:rsid w:val="00376B22"/>
    <w:rsid w:val="00383799"/>
    <w:rsid w:val="003846F4"/>
    <w:rsid w:val="003A2D82"/>
    <w:rsid w:val="003D4583"/>
    <w:rsid w:val="003D7BEB"/>
    <w:rsid w:val="003E6F6C"/>
    <w:rsid w:val="003F4FE4"/>
    <w:rsid w:val="00403457"/>
    <w:rsid w:val="00413101"/>
    <w:rsid w:val="004159AD"/>
    <w:rsid w:val="00481817"/>
    <w:rsid w:val="004A7386"/>
    <w:rsid w:val="004B64FE"/>
    <w:rsid w:val="004E1E92"/>
    <w:rsid w:val="004F2589"/>
    <w:rsid w:val="00521F16"/>
    <w:rsid w:val="005346DB"/>
    <w:rsid w:val="00542043"/>
    <w:rsid w:val="005424F0"/>
    <w:rsid w:val="005627CF"/>
    <w:rsid w:val="005A10EF"/>
    <w:rsid w:val="005B5D22"/>
    <w:rsid w:val="005E33F2"/>
    <w:rsid w:val="00612EED"/>
    <w:rsid w:val="0068199B"/>
    <w:rsid w:val="006B0C7E"/>
    <w:rsid w:val="006D3BA8"/>
    <w:rsid w:val="006F5C19"/>
    <w:rsid w:val="007029F8"/>
    <w:rsid w:val="007055F9"/>
    <w:rsid w:val="007779FE"/>
    <w:rsid w:val="0078325F"/>
    <w:rsid w:val="007A1E2C"/>
    <w:rsid w:val="007A66F4"/>
    <w:rsid w:val="007B74BA"/>
    <w:rsid w:val="007C07FE"/>
    <w:rsid w:val="007F087A"/>
    <w:rsid w:val="008209FE"/>
    <w:rsid w:val="008360B9"/>
    <w:rsid w:val="00841A2C"/>
    <w:rsid w:val="00854461"/>
    <w:rsid w:val="00887965"/>
    <w:rsid w:val="008F0B02"/>
    <w:rsid w:val="00914FD7"/>
    <w:rsid w:val="00927458"/>
    <w:rsid w:val="009704B7"/>
    <w:rsid w:val="009944F7"/>
    <w:rsid w:val="009B0FBA"/>
    <w:rsid w:val="009D6FA3"/>
    <w:rsid w:val="00A0143E"/>
    <w:rsid w:val="00A0197E"/>
    <w:rsid w:val="00A46500"/>
    <w:rsid w:val="00A6266B"/>
    <w:rsid w:val="00A709D1"/>
    <w:rsid w:val="00A73332"/>
    <w:rsid w:val="00A9719E"/>
    <w:rsid w:val="00AB74F9"/>
    <w:rsid w:val="00AC1A7A"/>
    <w:rsid w:val="00AE7188"/>
    <w:rsid w:val="00B01C94"/>
    <w:rsid w:val="00B04CB6"/>
    <w:rsid w:val="00B55D42"/>
    <w:rsid w:val="00B74B4A"/>
    <w:rsid w:val="00BA3D4A"/>
    <w:rsid w:val="00BC3B5C"/>
    <w:rsid w:val="00BC4BD8"/>
    <w:rsid w:val="00BC642C"/>
    <w:rsid w:val="00BE22A6"/>
    <w:rsid w:val="00BE50EF"/>
    <w:rsid w:val="00BE7015"/>
    <w:rsid w:val="00C03291"/>
    <w:rsid w:val="00C20FC0"/>
    <w:rsid w:val="00C26FD7"/>
    <w:rsid w:val="00C3689E"/>
    <w:rsid w:val="00C50336"/>
    <w:rsid w:val="00C6211C"/>
    <w:rsid w:val="00C754F0"/>
    <w:rsid w:val="00CB27F6"/>
    <w:rsid w:val="00CC1122"/>
    <w:rsid w:val="00CD1F92"/>
    <w:rsid w:val="00D02DB5"/>
    <w:rsid w:val="00D534A4"/>
    <w:rsid w:val="00D55F8B"/>
    <w:rsid w:val="00DF0CCD"/>
    <w:rsid w:val="00E14218"/>
    <w:rsid w:val="00E25BA1"/>
    <w:rsid w:val="00E2695A"/>
    <w:rsid w:val="00E47099"/>
    <w:rsid w:val="00E7076A"/>
    <w:rsid w:val="00E70F0A"/>
    <w:rsid w:val="00E711F0"/>
    <w:rsid w:val="00E86C00"/>
    <w:rsid w:val="00EB74B5"/>
    <w:rsid w:val="00F2155A"/>
    <w:rsid w:val="00F2723F"/>
    <w:rsid w:val="00F4734C"/>
    <w:rsid w:val="00F6662C"/>
    <w:rsid w:val="00F7470C"/>
    <w:rsid w:val="00FA16BF"/>
    <w:rsid w:val="00FC1F96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A41A"/>
  <w15:chartTrackingRefBased/>
  <w15:docId w15:val="{ED8D79CC-8C3E-40E1-98CB-A9FDF4E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5A"/>
  </w:style>
  <w:style w:type="paragraph" w:styleId="Heading1">
    <w:name w:val="heading 1"/>
    <w:basedOn w:val="Normal"/>
    <w:next w:val="Normal"/>
    <w:link w:val="Heading1Char"/>
    <w:uiPriority w:val="9"/>
    <w:qFormat/>
    <w:rsid w:val="00F2155A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55A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55A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5A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5A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5A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5A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5A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2155A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55A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5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155A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155A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155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155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55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3748"/>
    <w:pPr>
      <w:ind w:left="720"/>
      <w:contextualSpacing/>
    </w:pPr>
  </w:style>
  <w:style w:type="character" w:styleId="IntenseEmphasis">
    <w:name w:val="Intense Emphasis"/>
    <w:uiPriority w:val="21"/>
    <w:qFormat/>
    <w:rsid w:val="00F2155A"/>
    <w:rPr>
      <w:b/>
      <w:bCs/>
      <w:caps/>
      <w:color w:val="4C661A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5A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5A"/>
    <w:rPr>
      <w:color w:val="99CB38" w:themeColor="accent1"/>
      <w:sz w:val="24"/>
      <w:szCs w:val="24"/>
    </w:rPr>
  </w:style>
  <w:style w:type="character" w:styleId="IntenseReference">
    <w:name w:val="Intense Reference"/>
    <w:uiPriority w:val="32"/>
    <w:qFormat/>
    <w:rsid w:val="00F2155A"/>
    <w:rPr>
      <w:b/>
      <w:bCs/>
      <w:i/>
      <w:iCs/>
      <w:caps/>
      <w:color w:val="99CB38" w:themeColor="accent1"/>
    </w:rPr>
  </w:style>
  <w:style w:type="paragraph" w:styleId="NormalWeb">
    <w:name w:val="Normal (Web)"/>
    <w:basedOn w:val="Normal"/>
    <w:uiPriority w:val="99"/>
    <w:unhideWhenUsed/>
    <w:rsid w:val="0024374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55A"/>
    <w:rPr>
      <w:b/>
      <w:bCs/>
      <w:color w:val="729928" w:themeColor="accent1" w:themeShade="BF"/>
      <w:sz w:val="16"/>
      <w:szCs w:val="16"/>
    </w:rPr>
  </w:style>
  <w:style w:type="character" w:styleId="Strong">
    <w:name w:val="Strong"/>
    <w:uiPriority w:val="22"/>
    <w:qFormat/>
    <w:rsid w:val="00F2155A"/>
    <w:rPr>
      <w:b/>
      <w:bCs/>
    </w:rPr>
  </w:style>
  <w:style w:type="character" w:styleId="Emphasis">
    <w:name w:val="Emphasis"/>
    <w:uiPriority w:val="20"/>
    <w:qFormat/>
    <w:rsid w:val="00F2155A"/>
    <w:rPr>
      <w:caps/>
      <w:color w:val="4C661A" w:themeColor="accent1" w:themeShade="7F"/>
      <w:spacing w:val="5"/>
    </w:rPr>
  </w:style>
  <w:style w:type="paragraph" w:styleId="NoSpacing">
    <w:name w:val="No Spacing"/>
    <w:uiPriority w:val="1"/>
    <w:qFormat/>
    <w:rsid w:val="00F2155A"/>
    <w:pPr>
      <w:spacing w:after="0" w:line="240" w:lineRule="auto"/>
    </w:pPr>
  </w:style>
  <w:style w:type="character" w:styleId="SubtleEmphasis">
    <w:name w:val="Subtle Emphasis"/>
    <w:uiPriority w:val="19"/>
    <w:qFormat/>
    <w:rsid w:val="00F2155A"/>
    <w:rPr>
      <w:i/>
      <w:iCs/>
      <w:color w:val="4C661A" w:themeColor="accent1" w:themeShade="7F"/>
    </w:rPr>
  </w:style>
  <w:style w:type="character" w:styleId="SubtleReference">
    <w:name w:val="Subtle Reference"/>
    <w:uiPriority w:val="31"/>
    <w:qFormat/>
    <w:rsid w:val="00F2155A"/>
    <w:rPr>
      <w:b/>
      <w:bCs/>
      <w:color w:val="99CB38" w:themeColor="accent1"/>
    </w:rPr>
  </w:style>
  <w:style w:type="character" w:styleId="BookTitle">
    <w:name w:val="Book Title"/>
    <w:uiPriority w:val="33"/>
    <w:qFormat/>
    <w:rsid w:val="00F2155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55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BA"/>
  </w:style>
  <w:style w:type="paragraph" w:styleId="Footer">
    <w:name w:val="footer"/>
    <w:basedOn w:val="Normal"/>
    <w:link w:val="Foot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BA"/>
  </w:style>
  <w:style w:type="character" w:styleId="CommentReference">
    <w:name w:val="annotation reference"/>
    <w:basedOn w:val="DefaultParagraphFont"/>
    <w:uiPriority w:val="99"/>
    <w:semiHidden/>
    <w:unhideWhenUsed/>
    <w:rsid w:val="000E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5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E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590"/>
    <w:rPr>
      <w:b/>
      <w:bCs/>
    </w:rPr>
  </w:style>
  <w:style w:type="paragraph" w:styleId="Revision">
    <w:name w:val="Revision"/>
    <w:hidden/>
    <w:uiPriority w:val="99"/>
    <w:semiHidden/>
    <w:rsid w:val="000E559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11A5163A89449D0C1C6C0E9F5515" ma:contentTypeVersion="10" ma:contentTypeDescription="Create a new document." ma:contentTypeScope="" ma:versionID="2a9f51f7534a9e0e3b79f3e34e87cd3a">
  <xsd:schema xmlns:xsd="http://www.w3.org/2001/XMLSchema" xmlns:xs="http://www.w3.org/2001/XMLSchema" xmlns:p="http://schemas.microsoft.com/office/2006/metadata/properties" xmlns:ns2="da5e808e-8caf-4742-b4c8-c0509e19c783" xmlns:ns3="226445b4-6c52-419e-a014-f74742b6fdf6" targetNamespace="http://schemas.microsoft.com/office/2006/metadata/properties" ma:root="true" ma:fieldsID="3ef5dbbfb94396d7da82d63de64ecd5c" ns2:_="" ns3:_="">
    <xsd:import namespace="da5e808e-8caf-4742-b4c8-c0509e19c783"/>
    <xsd:import namespace="226445b4-6c52-419e-a014-f74742b6f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08e-8caf-4742-b4c8-c0509e19c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91942-6bab-4256-82a6-5f8a1d830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445b4-6c52-419e-a014-f74742b6fd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c20f-cfbc-4d2b-8b97-ba605fccfb6d}" ma:internalName="TaxCatchAll" ma:showField="CatchAllData" ma:web="226445b4-6c52-419e-a014-f74742b6f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08e-8caf-4742-b4c8-c0509e19c783">
      <Terms xmlns="http://schemas.microsoft.com/office/infopath/2007/PartnerControls"/>
    </lcf76f155ced4ddcb4097134ff3c332f>
    <TaxCatchAll xmlns="226445b4-6c52-419e-a014-f74742b6fdf6" xsi:nil="true"/>
  </documentManagement>
</p:properties>
</file>

<file path=customXml/itemProps1.xml><?xml version="1.0" encoding="utf-8"?>
<ds:datastoreItem xmlns:ds="http://schemas.openxmlformats.org/officeDocument/2006/customXml" ds:itemID="{D334A968-9BE0-41D5-9822-0A440161A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E37-8EB3-49DC-B7C4-C171C1035133}"/>
</file>

<file path=customXml/itemProps3.xml><?xml version="1.0" encoding="utf-8"?>
<ds:datastoreItem xmlns:ds="http://schemas.openxmlformats.org/officeDocument/2006/customXml" ds:itemID="{00FC9E76-3BC7-4521-AF9D-87A6FFF58F79}">
  <ds:schemaRefs>
    <ds:schemaRef ds:uri="http://schemas.microsoft.com/office/2006/metadata/properties"/>
    <ds:schemaRef ds:uri="http://schemas.microsoft.com/office/infopath/2007/PartnerControls"/>
    <ds:schemaRef ds:uri="da5e808e-8caf-4742-b4c8-c0509e19c783"/>
    <ds:schemaRef ds:uri="226445b4-6c52-419e-a014-f74742b6fdf6"/>
  </ds:schemaRefs>
</ds:datastoreItem>
</file>

<file path=docMetadata/LabelInfo.xml><?xml version="1.0" encoding="utf-8"?>
<clbl:labelList xmlns:clbl="http://schemas.microsoft.com/office/2020/mipLabelMetadata">
  <clbl:label id="{a8816c53-b0d3-4c1a-a10e-aa4784cf6e23}" enabled="1" method="Privileged" siteId="{fdade0c4-3fea-4320-ae53-1a1742aeff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4288</Characters>
  <Application>Microsoft Office Word</Application>
  <DocSecurity>0</DocSecurity>
  <Lines>214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Sheard</dc:creator>
  <cp:keywords/>
  <dc:description/>
  <cp:lastModifiedBy>Rachele Sheard</cp:lastModifiedBy>
  <cp:revision>3</cp:revision>
  <dcterms:created xsi:type="dcterms:W3CDTF">2025-12-05T02:26:00Z</dcterms:created>
  <dcterms:modified xsi:type="dcterms:W3CDTF">2025-12-05T02:27:00Z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0x0101002D8411A5163A89449D0C1C6C0E9F5515</vt:lpwstr>
  </property>
  <property fmtid="{D5CDD505-2E9C-101B-9397-08002B2CF9AE}" pid="3" name="MediaServiceImageTags">
    <vt:lpwstr/>
  </property>
</Properties>
</file>